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B83" w:rsidRPr="00995088" w:rsidRDefault="00411B83" w:rsidP="00411B83">
      <w:pPr>
        <w:pStyle w:val="Bezmezer"/>
        <w:jc w:val="center"/>
        <w:rPr>
          <w:b/>
          <w:sz w:val="32"/>
          <w:szCs w:val="32"/>
          <w:u w:val="single"/>
        </w:rPr>
      </w:pPr>
      <w:r w:rsidRPr="00995088">
        <w:rPr>
          <w:b/>
          <w:sz w:val="32"/>
          <w:szCs w:val="32"/>
          <w:u w:val="single"/>
        </w:rPr>
        <w:t>PASPORTIZACE OBJEKTU</w:t>
      </w:r>
    </w:p>
    <w:p w:rsidR="00411B83" w:rsidRPr="00985E3D" w:rsidRDefault="00411B83" w:rsidP="00411B83">
      <w:pPr>
        <w:pStyle w:val="Bezmezer"/>
        <w:jc w:val="center"/>
        <w:rPr>
          <w:b/>
          <w:sz w:val="28"/>
          <w:szCs w:val="28"/>
          <w:u w:val="single"/>
        </w:rPr>
      </w:pPr>
    </w:p>
    <w:p w:rsidR="00411B83" w:rsidRPr="00995088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  <w:u w:val="single"/>
        </w:rPr>
        <w:t>Akce:</w:t>
      </w:r>
      <w:r w:rsidRPr="00995088">
        <w:rPr>
          <w:sz w:val="24"/>
          <w:szCs w:val="24"/>
        </w:rPr>
        <w:t xml:space="preserve"> </w:t>
      </w:r>
      <w:r w:rsidRPr="00411B83">
        <w:rPr>
          <w:rFonts w:cs="Calibri"/>
          <w:sz w:val="24"/>
          <w:szCs w:val="24"/>
        </w:rPr>
        <w:t xml:space="preserve">Rekonstrukce opevnění břehu Ploučnice v Benešově n. </w:t>
      </w:r>
      <w:proofErr w:type="spellStart"/>
      <w:r w:rsidRPr="00411B83">
        <w:rPr>
          <w:rFonts w:cs="Calibri"/>
          <w:sz w:val="24"/>
          <w:szCs w:val="24"/>
        </w:rPr>
        <w:t>Pl</w:t>
      </w:r>
      <w:proofErr w:type="spellEnd"/>
      <w:r w:rsidRPr="00411B83">
        <w:rPr>
          <w:rFonts w:cs="Calibri"/>
          <w:sz w:val="24"/>
          <w:szCs w:val="24"/>
        </w:rPr>
        <w:t>.</w:t>
      </w:r>
    </w:p>
    <w:p w:rsidR="00411B83" w:rsidRDefault="00411B83" w:rsidP="00411B83">
      <w:pPr>
        <w:pStyle w:val="Bezmezer"/>
      </w:pPr>
    </w:p>
    <w:p w:rsidR="00411B83" w:rsidRDefault="00411B83" w:rsidP="00411B83">
      <w:pPr>
        <w:pStyle w:val="Bezmezer"/>
        <w:rPr>
          <w:u w:val="single"/>
        </w:rPr>
      </w:pPr>
      <w:r w:rsidRPr="00995088">
        <w:rPr>
          <w:u w:val="single"/>
        </w:rPr>
        <w:t>Objekt</w:t>
      </w:r>
      <w:r>
        <w:rPr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3402"/>
      </w:tblGrid>
      <w:tr w:rsidR="001E63F4" w:rsidRPr="00CE7390" w:rsidTr="001E63F4">
        <w:tc>
          <w:tcPr>
            <w:tcW w:w="2093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Parcelní číslo</w:t>
            </w:r>
          </w:p>
        </w:tc>
        <w:tc>
          <w:tcPr>
            <w:tcW w:w="1984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Katastrální území</w:t>
            </w:r>
          </w:p>
        </w:tc>
        <w:tc>
          <w:tcPr>
            <w:tcW w:w="2127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Stavba na parcele</w:t>
            </w:r>
          </w:p>
        </w:tc>
        <w:tc>
          <w:tcPr>
            <w:tcW w:w="3402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Vlastnické právo</w:t>
            </w:r>
          </w:p>
        </w:tc>
      </w:tr>
      <w:tr w:rsidR="001E63F4" w:rsidRPr="00CE7390" w:rsidTr="00AE5F82">
        <w:trPr>
          <w:trHeight w:val="576"/>
        </w:trPr>
        <w:tc>
          <w:tcPr>
            <w:tcW w:w="2093" w:type="dxa"/>
            <w:vAlign w:val="center"/>
          </w:tcPr>
          <w:p w:rsidR="001E63F4" w:rsidRPr="00AE5F82" w:rsidRDefault="00AE5F82" w:rsidP="00AE5F82">
            <w:pPr>
              <w:pStyle w:val="Bezmezer"/>
              <w:jc w:val="center"/>
            </w:pPr>
            <w:r w:rsidRPr="00AE5F82">
              <w:t>St. 447</w:t>
            </w:r>
          </w:p>
        </w:tc>
        <w:tc>
          <w:tcPr>
            <w:tcW w:w="1984" w:type="dxa"/>
            <w:vAlign w:val="center"/>
          </w:tcPr>
          <w:p w:rsidR="001E63F4" w:rsidRPr="00AE5F82" w:rsidRDefault="00AE5F82" w:rsidP="00AE5F82">
            <w:pPr>
              <w:pStyle w:val="Bezmezer"/>
              <w:jc w:val="center"/>
            </w:pPr>
            <w:r w:rsidRPr="00AE5F82">
              <w:t>Kamenický Šenov</w:t>
            </w:r>
          </w:p>
        </w:tc>
        <w:tc>
          <w:tcPr>
            <w:tcW w:w="2127" w:type="dxa"/>
            <w:vAlign w:val="center"/>
          </w:tcPr>
          <w:p w:rsidR="001E63F4" w:rsidRPr="00AE5F82" w:rsidRDefault="00AE5F82" w:rsidP="00AE5F82">
            <w:pPr>
              <w:pStyle w:val="Bezmezer"/>
              <w:jc w:val="center"/>
            </w:pPr>
            <w:r w:rsidRPr="00AE5F82">
              <w:t>Čp. 497</w:t>
            </w:r>
          </w:p>
        </w:tc>
        <w:tc>
          <w:tcPr>
            <w:tcW w:w="3402" w:type="dxa"/>
            <w:vAlign w:val="center"/>
          </w:tcPr>
          <w:p w:rsidR="001E63F4" w:rsidRPr="00AE5F82" w:rsidRDefault="00AE5F82" w:rsidP="00AE5F82">
            <w:pPr>
              <w:pStyle w:val="Bezmezer"/>
              <w:jc w:val="center"/>
            </w:pPr>
            <w:r w:rsidRPr="00AE5F82">
              <w:t>Osvald Jan</w:t>
            </w:r>
          </w:p>
        </w:tc>
      </w:tr>
    </w:tbl>
    <w:p w:rsidR="00411B83" w:rsidRDefault="00411B83" w:rsidP="00411B83">
      <w:pPr>
        <w:pStyle w:val="Bezmezer"/>
        <w:rPr>
          <w:sz w:val="24"/>
          <w:szCs w:val="24"/>
          <w:u w:val="single"/>
        </w:rPr>
      </w:pPr>
    </w:p>
    <w:p w:rsidR="00411B83" w:rsidRPr="00995088" w:rsidRDefault="00411B83" w:rsidP="00411B83">
      <w:pPr>
        <w:pStyle w:val="Bezmezer"/>
        <w:rPr>
          <w:sz w:val="24"/>
          <w:szCs w:val="24"/>
          <w:u w:val="single"/>
        </w:rPr>
      </w:pPr>
      <w:r w:rsidRPr="00995088">
        <w:rPr>
          <w:sz w:val="24"/>
          <w:szCs w:val="24"/>
          <w:u w:val="single"/>
        </w:rPr>
        <w:t>Popis objektů a jejich stavu:</w:t>
      </w:r>
    </w:p>
    <w:p w:rsidR="00411B83" w:rsidRDefault="00AE5F82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 xml:space="preserve">Nemovitost tvoří </w:t>
      </w:r>
      <w:r w:rsidR="009316D9">
        <w:t xml:space="preserve">původní zděný dům a přístavba nad korytem toku. </w:t>
      </w:r>
      <w:r w:rsidR="007D0F3C">
        <w:t xml:space="preserve">Na zahradě se nachází zděná garáž. </w:t>
      </w:r>
    </w:p>
    <w:p w:rsidR="009316D9" w:rsidRDefault="009316D9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:rsidR="007D0F3C" w:rsidRPr="007D0F3C" w:rsidRDefault="007D0F3C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 w:rsidRPr="007D0F3C">
        <w:rPr>
          <w:u w:val="single"/>
        </w:rPr>
        <w:t>Dům</w:t>
      </w:r>
    </w:p>
    <w:p w:rsidR="009316D9" w:rsidRDefault="009316D9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>Dům je zděný</w:t>
      </w:r>
      <w:r w:rsidR="007D0F3C">
        <w:t xml:space="preserve"> z kamene/cihel</w:t>
      </w:r>
      <w:r>
        <w:t>, 2podlažní, zčásti podsklepený. Sklepení se nachází pod částí domu směrem ke komunikaci. Na nemovitosti probíhají rekonstr</w:t>
      </w:r>
      <w:r w:rsidR="007D0F3C">
        <w:t xml:space="preserve">ukční práce. Interiér je po rekonstrukci, na stěnách, stropech a klenbách nejsou patrny žádné praskliny či jiná poškození. </w:t>
      </w:r>
      <w:r w:rsidR="006D6BC7">
        <w:t>Kopanou sondou do 950 mm se založení nepodařilo ověřit. Dle majitele jsou základny tzv. valené až na úroveň skalního podloží.</w:t>
      </w:r>
    </w:p>
    <w:p w:rsidR="007D0F3C" w:rsidRDefault="007D0F3C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:rsidR="007D0F3C" w:rsidRDefault="007D0F3C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 w:rsidRPr="007D0F3C">
        <w:rPr>
          <w:u w:val="single"/>
        </w:rPr>
        <w:t>Přístavba</w:t>
      </w:r>
    </w:p>
    <w:p w:rsidR="007D0F3C" w:rsidRPr="007D0F3C" w:rsidRDefault="007D0F3C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 xml:space="preserve">Přístavbu tvoří cihlová konstrukce ze sloupů 350x350 mm, mezi kterými jsou cihlové zdi </w:t>
      </w:r>
      <w:proofErr w:type="spellStart"/>
      <w:r>
        <w:t>tl</w:t>
      </w:r>
      <w:proofErr w:type="spellEnd"/>
      <w:r>
        <w:t xml:space="preserve">. 200 a 300 mm. Vnitřní prostory zčásti nově omítnuté, přístavba je bez trhlin nebo prasklin. Vnější stavba je bez prasklin nebo trhlin, jen místy je výjimečně </w:t>
      </w:r>
      <w:r w:rsidR="00260E7B">
        <w:t>drobně poškozená svrchní vrstva hrubého štuku. Součástí přístavby je komín.</w:t>
      </w:r>
      <w:r w:rsidR="006D6BC7">
        <w:t xml:space="preserve"> Založení nebylo možné ověřit – větší část stavby je obetonovaná, zčásti je nemovitost založená přímo na nábřežní zdi. </w:t>
      </w:r>
    </w:p>
    <w:p w:rsidR="007D0F3C" w:rsidRDefault="007D0F3C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</w:p>
    <w:p w:rsidR="007D0F3C" w:rsidRPr="007D0F3C" w:rsidRDefault="007D0F3C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>
        <w:rPr>
          <w:u w:val="single"/>
        </w:rPr>
        <w:t>Garáž</w:t>
      </w:r>
    </w:p>
    <w:p w:rsidR="007D0F3C" w:rsidRDefault="006D6BC7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>Zděná 2podlažní budova, omítnutá. Vnitřní i vnější prostory bez</w:t>
      </w:r>
      <w:r w:rsidR="009F4D7C">
        <w:t xml:space="preserve"> poškození, výjimku tvoří drobná povrchová poškození omítnutí na rozích.  </w:t>
      </w:r>
    </w:p>
    <w:p w:rsidR="00411B83" w:rsidRDefault="00411B83" w:rsidP="00411B83">
      <w:pPr>
        <w:spacing w:line="360" w:lineRule="auto"/>
      </w:pPr>
    </w:p>
    <w:p w:rsidR="00411B83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</w:rPr>
        <w:t>V rámci pasportizace objektu byla pořízena fotodokumentace</w:t>
      </w:r>
      <w:r>
        <w:rPr>
          <w:sz w:val="24"/>
          <w:szCs w:val="24"/>
        </w:rPr>
        <w:t>.</w:t>
      </w:r>
    </w:p>
    <w:p w:rsidR="00411B83" w:rsidRDefault="00411B83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Vlastník či odpovědná osoba souhlasí s výše uvedeným popisem stavu objektu.</w:t>
      </w:r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411B83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</w:t>
      </w:r>
      <w:r w:rsidR="00984B49">
        <w:rPr>
          <w:sz w:val="24"/>
          <w:szCs w:val="24"/>
        </w:rPr>
        <w:t> </w:t>
      </w:r>
      <w:proofErr w:type="spellStart"/>
      <w:r w:rsidR="00984B49">
        <w:rPr>
          <w:sz w:val="24"/>
          <w:szCs w:val="24"/>
        </w:rPr>
        <w:t>Kamnickém</w:t>
      </w:r>
      <w:proofErr w:type="spellEnd"/>
      <w:r w:rsidR="00984B49">
        <w:rPr>
          <w:sz w:val="24"/>
          <w:szCs w:val="24"/>
        </w:rPr>
        <w:t xml:space="preserve"> Šenově </w:t>
      </w:r>
      <w:r>
        <w:rPr>
          <w:sz w:val="24"/>
          <w:szCs w:val="24"/>
        </w:rPr>
        <w:t>dne ………………………</w:t>
      </w:r>
      <w:proofErr w:type="gramStart"/>
      <w:r>
        <w:rPr>
          <w:sz w:val="24"/>
          <w:szCs w:val="24"/>
        </w:rPr>
        <w:t>…. .</w:t>
      </w:r>
      <w:proofErr w:type="gramEnd"/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891A78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Jméno </w:t>
      </w:r>
      <w:r w:rsidR="00411B83">
        <w:rPr>
          <w:sz w:val="24"/>
          <w:szCs w:val="24"/>
        </w:rPr>
        <w:t>majitele či odpovědné osoby (hůlkovým písmem): ………………………….</w:t>
      </w:r>
    </w:p>
    <w:p w:rsidR="00411B83" w:rsidRDefault="00411B83" w:rsidP="00411B83">
      <w:pPr>
        <w:pStyle w:val="Bezmezer"/>
        <w:rPr>
          <w:sz w:val="24"/>
          <w:szCs w:val="24"/>
        </w:rPr>
      </w:pPr>
      <w:bookmarkStart w:id="0" w:name="_GoBack"/>
      <w:bookmarkEnd w:id="0"/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 w:hanging="2124"/>
        <w:rPr>
          <w:sz w:val="24"/>
          <w:szCs w:val="24"/>
        </w:rPr>
      </w:pPr>
      <w:r>
        <w:rPr>
          <w:sz w:val="24"/>
          <w:szCs w:val="24"/>
        </w:rPr>
        <w:t xml:space="preserve">….…………………………….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….…………………………….</w:t>
      </w:r>
    </w:p>
    <w:p w:rsidR="00411B83" w:rsidRPr="00991C70" w:rsidRDefault="00411B83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Podpis</w:t>
      </w:r>
      <w:r>
        <w:rPr>
          <w:sz w:val="24"/>
          <w:szCs w:val="24"/>
        </w:rPr>
        <w:tab/>
        <w:t>majitele či odpovědné osoby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r>
        <w:rPr>
          <w:sz w:val="24"/>
          <w:szCs w:val="24"/>
        </w:rPr>
        <w:tab/>
        <w:t xml:space="preserve">                 Ing. Oldřich Stiller</w:t>
      </w:r>
      <w:r>
        <w:rPr>
          <w:noProof/>
        </w:rPr>
        <w:t xml:space="preserve">          </w:t>
      </w:r>
    </w:p>
    <w:p w:rsidR="00156C38" w:rsidRDefault="0058450E" w:rsidP="005A6DDF">
      <w:r>
        <w:tab/>
      </w:r>
    </w:p>
    <w:sectPr w:rsidR="00156C38" w:rsidSect="00617F92">
      <w:headerReference w:type="default" r:id="rId6"/>
      <w:footerReference w:type="default" r:id="rId7"/>
      <w:pgSz w:w="11906" w:h="16838"/>
      <w:pgMar w:top="-1702" w:right="1417" w:bottom="1417" w:left="1417" w:header="41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F2B" w:rsidRDefault="00485F2B" w:rsidP="00CB37D2">
      <w:pPr>
        <w:spacing w:after="0" w:line="240" w:lineRule="auto"/>
      </w:pPr>
      <w:r>
        <w:separator/>
      </w:r>
    </w:p>
  </w:endnote>
  <w:endnote w:type="continuationSeparator" w:id="0">
    <w:p w:rsidR="00485F2B" w:rsidRDefault="00485F2B" w:rsidP="00CB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0AB" w:rsidRDefault="00D9281A">
    <w:r>
      <w:rPr>
        <w:noProof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-918845</wp:posOffset>
          </wp:positionH>
          <wp:positionV relativeFrom="paragraph">
            <wp:posOffset>200660</wp:posOffset>
          </wp:positionV>
          <wp:extent cx="10586085" cy="104775"/>
          <wp:effectExtent l="19050" t="0" r="5715" b="0"/>
          <wp:wrapNone/>
          <wp:docPr id="4" name="obrázek 2" descr="X:\Ostatní\Vzory\vzory 2013\zzz - odložené\patička11\patička 13\dol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Ostatní\Vzory\vzory 2013\zzz - odložené\patička11\patička 13\doln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08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10456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933"/>
      <w:gridCol w:w="2897"/>
      <w:gridCol w:w="1815"/>
    </w:tblGrid>
    <w:tr w:rsidR="00D510AB" w:rsidTr="003D5184">
      <w:trPr>
        <w:trHeight w:hRule="exact" w:val="170"/>
      </w:trPr>
      <w:tc>
        <w:tcPr>
          <w:tcW w:w="2811" w:type="dxa"/>
          <w:vAlign w:val="center"/>
        </w:tcPr>
        <w:p w:rsidR="00D510AB" w:rsidRPr="00D9281A" w:rsidRDefault="00D510AB" w:rsidP="00E86BE2">
          <w:pPr>
            <w:pStyle w:val="Zhlav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HG partner s.r.o.</w:t>
          </w:r>
        </w:p>
      </w:tc>
      <w:tc>
        <w:tcPr>
          <w:tcW w:w="2933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IČO: 27221253, DIČ: CZ27221253</w:t>
          </w:r>
        </w:p>
      </w:tc>
      <w:tc>
        <w:tcPr>
          <w:tcW w:w="2897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Bankovní spojení:</w:t>
          </w:r>
        </w:p>
      </w:tc>
      <w:tc>
        <w:tcPr>
          <w:tcW w:w="1815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Tel/fax: 246 082 015</w:t>
          </w:r>
        </w:p>
      </w:tc>
    </w:tr>
    <w:tr w:rsidR="00D510AB" w:rsidTr="003D5184">
      <w:trPr>
        <w:trHeight w:hRule="exact" w:val="170"/>
      </w:trPr>
      <w:tc>
        <w:tcPr>
          <w:tcW w:w="2811" w:type="dxa"/>
          <w:vAlign w:val="center"/>
        </w:tcPr>
        <w:p w:rsidR="00D510AB" w:rsidRPr="00D9281A" w:rsidRDefault="00D510AB" w:rsidP="0078238A">
          <w:pPr>
            <w:pStyle w:val="Zhlav"/>
            <w:ind w:right="-74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Smetanova 200, 250 82 Úvaly</w:t>
          </w:r>
        </w:p>
      </w:tc>
      <w:tc>
        <w:tcPr>
          <w:tcW w:w="2933" w:type="dxa"/>
          <w:vAlign w:val="center"/>
        </w:tcPr>
        <w:p w:rsidR="00D510AB" w:rsidRPr="00D9281A" w:rsidRDefault="00984B49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hyperlink r:id="rId2" w:history="1">
            <w:r w:rsidR="00D510AB" w:rsidRPr="00D9281A">
              <w:rPr>
                <w:rFonts w:ascii="Arial" w:hAnsi="Arial" w:cs="Arial"/>
                <w:color w:val="0093DD"/>
                <w:sz w:val="14"/>
                <w:szCs w:val="14"/>
              </w:rPr>
              <w:t>hgp@hgpartner.cz</w:t>
            </w:r>
          </w:hyperlink>
          <w:r w:rsidR="00D510AB" w:rsidRPr="00D9281A">
            <w:rPr>
              <w:rFonts w:ascii="Arial" w:hAnsi="Arial" w:cs="Arial"/>
              <w:color w:val="0093DD"/>
              <w:sz w:val="14"/>
              <w:szCs w:val="14"/>
            </w:rPr>
            <w:t>, www.hgpartner.cz</w:t>
          </w:r>
        </w:p>
      </w:tc>
      <w:tc>
        <w:tcPr>
          <w:tcW w:w="2897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 435084389/0800</w:t>
          </w:r>
        </w:p>
      </w:tc>
      <w:tc>
        <w:tcPr>
          <w:tcW w:w="1815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777 168 116</w:t>
          </w:r>
        </w:p>
      </w:tc>
    </w:tr>
  </w:tbl>
  <w:p w:rsidR="00D510AB" w:rsidRDefault="00D510AB" w:rsidP="00D4343E">
    <w:pPr>
      <w:pStyle w:val="Zpat"/>
    </w:pPr>
    <w:r w:rsidRPr="00D4343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F2B" w:rsidRDefault="00485F2B" w:rsidP="00CB37D2">
      <w:pPr>
        <w:spacing w:after="0" w:line="240" w:lineRule="auto"/>
      </w:pPr>
      <w:r>
        <w:separator/>
      </w:r>
    </w:p>
  </w:footnote>
  <w:footnote w:type="continuationSeparator" w:id="0">
    <w:p w:rsidR="00485F2B" w:rsidRDefault="00485F2B" w:rsidP="00CB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3260"/>
      <w:gridCol w:w="1560"/>
      <w:gridCol w:w="1700"/>
      <w:gridCol w:w="1701"/>
    </w:tblGrid>
    <w:tr w:rsidR="00D510AB" w:rsidTr="001B4558">
      <w:trPr>
        <w:cantSplit/>
        <w:trHeight w:hRule="exact" w:val="204"/>
      </w:trPr>
      <w:tc>
        <w:tcPr>
          <w:tcW w:w="1526" w:type="dxa"/>
        </w:tcPr>
        <w:p w:rsidR="00D510AB" w:rsidRDefault="00D9281A" w:rsidP="00CB37D2">
          <w:pPr>
            <w:pStyle w:val="Zhlav"/>
            <w:jc w:val="center"/>
          </w:pPr>
          <w:r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-1071245</wp:posOffset>
                </wp:positionH>
                <wp:positionV relativeFrom="paragraph">
                  <wp:posOffset>-24130</wp:posOffset>
                </wp:positionV>
                <wp:extent cx="10502900" cy="590550"/>
                <wp:effectExtent l="19050" t="0" r="0" b="0"/>
                <wp:wrapNone/>
                <wp:docPr id="3" name="obrázek 1" descr="X:\Ostatní\Vzory\vzory 2013\zzz - odložené\patička11\patička 13\horn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Ostatní\Vzory\vzory 2013\zzz - odložené\patička11\patička 13\horn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29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984B49"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3009" type="#_x0000_t202" style="position:absolute;left:0;text-align:left;margin-left:63.7pt;margin-top:-4.2pt;width:181pt;height:23.5pt;z-index:25167872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hm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" filled="f" stroked="f">
                <v:textbox>
                  <w:txbxContent>
                    <w:p w:rsidR="0058450E" w:rsidRPr="00D9281A" w:rsidRDefault="0058450E" w:rsidP="0058450E">
                      <w:pPr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</w:pPr>
                      <w:r w:rsidRPr="00D9281A"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  <w:t>HG partner s.r.o.</w:t>
                      </w:r>
                    </w:p>
                  </w:txbxContent>
                </v:textbox>
              </v:shape>
            </w:pict>
          </w:r>
        </w:p>
      </w:tc>
      <w:tc>
        <w:tcPr>
          <w:tcW w:w="3260" w:type="dxa"/>
          <w:vAlign w:val="center"/>
        </w:tcPr>
        <w:p w:rsidR="00D510AB" w:rsidRPr="00A5047E" w:rsidRDefault="00D510AB" w:rsidP="00D510AB">
          <w:pPr>
            <w:pStyle w:val="Zhlav"/>
            <w:ind w:left="-391"/>
            <w:rPr>
              <w:rFonts w:ascii="Arial" w:hAnsi="Arial" w:cs="Arial"/>
              <w:b/>
              <w:color w:val="0000FE"/>
              <w:sz w:val="20"/>
              <w:szCs w:val="20"/>
            </w:rPr>
          </w:pPr>
        </w:p>
      </w:tc>
      <w:tc>
        <w:tcPr>
          <w:tcW w:w="1560" w:type="dxa"/>
          <w:vAlign w:val="center"/>
        </w:tcPr>
        <w:p w:rsidR="00D510AB" w:rsidRPr="00A5047E" w:rsidRDefault="00D510AB" w:rsidP="002D0C74">
          <w:pPr>
            <w:pStyle w:val="Zhlav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:rsidR="00D510AB" w:rsidRPr="00A5047E" w:rsidRDefault="00D510AB" w:rsidP="00814585">
          <w:pPr>
            <w:pStyle w:val="Zhlav"/>
            <w:ind w:right="-108" w:hanging="108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9001:2000</w:t>
          </w:r>
        </w:p>
      </w:tc>
    </w:tr>
    <w:tr w:rsidR="00D510AB" w:rsidTr="001B4558">
      <w:trPr>
        <w:trHeight w:hRule="exact" w:val="170"/>
      </w:trPr>
      <w:tc>
        <w:tcPr>
          <w:tcW w:w="1526" w:type="dxa"/>
        </w:tcPr>
        <w:p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:rsidR="00D510AB" w:rsidRPr="00D9281A" w:rsidRDefault="00D510AB" w:rsidP="002D0C74">
          <w:pPr>
            <w:pStyle w:val="Zhlav"/>
            <w:ind w:right="-108" w:hanging="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projekční a inženýrská činnost</w:t>
          </w:r>
        </w:p>
      </w:tc>
      <w:tc>
        <w:tcPr>
          <w:tcW w:w="1560" w:type="dxa"/>
          <w:vAlign w:val="center"/>
        </w:tcPr>
        <w:p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14001:2004</w:t>
          </w:r>
        </w:p>
      </w:tc>
    </w:tr>
    <w:tr w:rsidR="00D510AB" w:rsidTr="001B4558">
      <w:trPr>
        <w:trHeight w:hRule="exact" w:val="170"/>
      </w:trPr>
      <w:tc>
        <w:tcPr>
          <w:tcW w:w="1526" w:type="dxa"/>
        </w:tcPr>
        <w:p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:rsidR="00D510AB" w:rsidRPr="00D9281A" w:rsidRDefault="00D510AB" w:rsidP="00617F92">
          <w:pPr>
            <w:pStyle w:val="Zhlav"/>
            <w:tabs>
              <w:tab w:val="clear" w:pos="4536"/>
            </w:tabs>
            <w:ind w:left="-108" w:right="-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hydrotechnické a geotechnické stavby, geologie</w:t>
          </w:r>
        </w:p>
      </w:tc>
      <w:tc>
        <w:tcPr>
          <w:tcW w:w="1560" w:type="dxa"/>
          <w:vAlign w:val="center"/>
        </w:tcPr>
        <w:p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:rsidR="00D510AB" w:rsidRPr="00D9281A" w:rsidRDefault="00D510AB" w:rsidP="00814585">
          <w:pPr>
            <w:pStyle w:val="Zhlav"/>
            <w:ind w:right="-108"/>
            <w:jc w:val="right"/>
            <w:rPr>
              <w:rFonts w:ascii="Arial" w:hAnsi="Arial" w:cs="Arial"/>
              <w:b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b/>
              <w:color w:val="0093DD"/>
              <w:sz w:val="14"/>
              <w:szCs w:val="14"/>
            </w:rPr>
            <w:t>www.hgpartner.cz</w:t>
          </w:r>
        </w:p>
      </w:tc>
    </w:tr>
  </w:tbl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Pr="000A2B5D" w:rsidRDefault="00BC63E6" w:rsidP="00BC63E6">
    <w:pPr>
      <w:pStyle w:val="Zhlav"/>
      <w:rPr>
        <w:sz w:val="16"/>
        <w:szCs w:val="16"/>
      </w:rPr>
    </w:pPr>
  </w:p>
  <w:p w:rsidR="00BC63E6" w:rsidRPr="000A2B5D" w:rsidRDefault="00BC63E6" w:rsidP="00BC63E6">
    <w:pPr>
      <w:pStyle w:val="Zhlav"/>
      <w:tabs>
        <w:tab w:val="clear" w:pos="9072"/>
        <w:tab w:val="right" w:pos="8505"/>
      </w:tabs>
      <w:ind w:right="-851"/>
      <w:rPr>
        <w:color w:val="BFBFBF" w:themeColor="background1" w:themeShade="BF"/>
      </w:rPr>
    </w:pPr>
    <w:r w:rsidRPr="000A2B5D">
      <w:rPr>
        <w:color w:val="BFBFBF" w:themeColor="background1" w:themeShade="BF"/>
      </w:rPr>
      <w:t xml:space="preserve">                                                                                                                                                                                                 ----</w:t>
    </w:r>
  </w:p>
  <w:p w:rsidR="00D510AB" w:rsidRDefault="00D510AB">
    <w:pPr>
      <w:pStyle w:val="Zhlav"/>
    </w:pPr>
  </w:p>
  <w:p w:rsidR="00D510AB" w:rsidRDefault="00D51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3011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37D2"/>
    <w:rsid w:val="00020BCB"/>
    <w:rsid w:val="00032DB6"/>
    <w:rsid w:val="000441BB"/>
    <w:rsid w:val="0005156E"/>
    <w:rsid w:val="0005299D"/>
    <w:rsid w:val="000A60B9"/>
    <w:rsid w:val="000A62A1"/>
    <w:rsid w:val="000E330D"/>
    <w:rsid w:val="00123750"/>
    <w:rsid w:val="00127BD3"/>
    <w:rsid w:val="00156C38"/>
    <w:rsid w:val="0018711D"/>
    <w:rsid w:val="001B4558"/>
    <w:rsid w:val="001E63F4"/>
    <w:rsid w:val="001F72ED"/>
    <w:rsid w:val="00226B18"/>
    <w:rsid w:val="00260E7B"/>
    <w:rsid w:val="002968E6"/>
    <w:rsid w:val="002D0C74"/>
    <w:rsid w:val="003843D8"/>
    <w:rsid w:val="0038580F"/>
    <w:rsid w:val="003D5184"/>
    <w:rsid w:val="00411B83"/>
    <w:rsid w:val="004511AD"/>
    <w:rsid w:val="00485F2B"/>
    <w:rsid w:val="004A25EF"/>
    <w:rsid w:val="0058450E"/>
    <w:rsid w:val="005A6DDF"/>
    <w:rsid w:val="005F0578"/>
    <w:rsid w:val="00604209"/>
    <w:rsid w:val="00617F92"/>
    <w:rsid w:val="00633D54"/>
    <w:rsid w:val="00640FDD"/>
    <w:rsid w:val="00673582"/>
    <w:rsid w:val="0068579E"/>
    <w:rsid w:val="006D6A58"/>
    <w:rsid w:val="006D6BC7"/>
    <w:rsid w:val="006D711F"/>
    <w:rsid w:val="006F5624"/>
    <w:rsid w:val="0070535D"/>
    <w:rsid w:val="00770BF4"/>
    <w:rsid w:val="0078238A"/>
    <w:rsid w:val="007A3DC7"/>
    <w:rsid w:val="007A60F5"/>
    <w:rsid w:val="007D0F3C"/>
    <w:rsid w:val="00803D10"/>
    <w:rsid w:val="00814585"/>
    <w:rsid w:val="00871EA6"/>
    <w:rsid w:val="00891A78"/>
    <w:rsid w:val="00893F1A"/>
    <w:rsid w:val="008A4F3F"/>
    <w:rsid w:val="009316D9"/>
    <w:rsid w:val="00935E26"/>
    <w:rsid w:val="0098152E"/>
    <w:rsid w:val="00984B49"/>
    <w:rsid w:val="009D571B"/>
    <w:rsid w:val="009F4D7C"/>
    <w:rsid w:val="00A5047E"/>
    <w:rsid w:val="00AE5F82"/>
    <w:rsid w:val="00AF7497"/>
    <w:rsid w:val="00B47B00"/>
    <w:rsid w:val="00BB6284"/>
    <w:rsid w:val="00BC141F"/>
    <w:rsid w:val="00BC63E6"/>
    <w:rsid w:val="00C2491A"/>
    <w:rsid w:val="00C46E47"/>
    <w:rsid w:val="00CB37D2"/>
    <w:rsid w:val="00CC19D0"/>
    <w:rsid w:val="00CC6A7C"/>
    <w:rsid w:val="00D4343E"/>
    <w:rsid w:val="00D47BC1"/>
    <w:rsid w:val="00D510AB"/>
    <w:rsid w:val="00D7428B"/>
    <w:rsid w:val="00D9281A"/>
    <w:rsid w:val="00DD2109"/>
    <w:rsid w:val="00DD36E0"/>
    <w:rsid w:val="00E86BE2"/>
    <w:rsid w:val="00F03337"/>
    <w:rsid w:val="00F079C8"/>
    <w:rsid w:val="00F123B7"/>
    <w:rsid w:val="00F75C00"/>
    <w:rsid w:val="00FA3C31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."/>
  <w:listSeparator w:val=";"/>
  <w15:docId w15:val="{E091B936-467B-4CA5-AD12-22B479B0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8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7D2"/>
  </w:style>
  <w:style w:type="paragraph" w:styleId="Zpat">
    <w:name w:val="footer"/>
    <w:basedOn w:val="Normln"/>
    <w:link w:val="ZpatChar"/>
    <w:uiPriority w:val="99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7D2"/>
  </w:style>
  <w:style w:type="table" w:styleId="Mkatabulky">
    <w:name w:val="Table Grid"/>
    <w:basedOn w:val="Normlntabulka"/>
    <w:uiPriority w:val="59"/>
    <w:rsid w:val="00C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109"/>
    <w:rPr>
      <w:rFonts w:ascii="Tahoma" w:hAnsi="Tahoma" w:cs="Tahoma"/>
      <w:sz w:val="16"/>
      <w:szCs w:val="16"/>
    </w:rPr>
  </w:style>
  <w:style w:type="character" w:styleId="Hypertextovodkaz">
    <w:name w:val="Hyperlink"/>
    <w:rsid w:val="00D4343E"/>
    <w:rPr>
      <w:color w:val="0000FF"/>
      <w:u w:val="single"/>
    </w:rPr>
  </w:style>
  <w:style w:type="paragraph" w:styleId="Bezmezer">
    <w:name w:val="No Spacing"/>
    <w:uiPriority w:val="1"/>
    <w:qFormat/>
    <w:rsid w:val="00411B8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gp@hgpartner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</dc:creator>
  <cp:lastModifiedBy>Olda Stiller</cp:lastModifiedBy>
  <cp:revision>12</cp:revision>
  <cp:lastPrinted>2015-04-16T14:46:00Z</cp:lastPrinted>
  <dcterms:created xsi:type="dcterms:W3CDTF">2015-05-15T15:02:00Z</dcterms:created>
  <dcterms:modified xsi:type="dcterms:W3CDTF">2018-01-05T13:17:00Z</dcterms:modified>
</cp:coreProperties>
</file>